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A712F">
      <w:pPr>
        <w:spacing w:line="330" w:lineRule="auto"/>
        <w:rPr>
          <w:rFonts w:hint="eastAsia" w:ascii="微软雅黑" w:hAnsi="微软雅黑" w:eastAsia="微软雅黑" w:cs="微软雅黑"/>
          <w:sz w:val="21"/>
        </w:rPr>
      </w:pPr>
    </w:p>
    <w:p w14:paraId="5B9895FE">
      <w:pPr>
        <w:spacing w:before="124" w:line="212" w:lineRule="auto"/>
        <w:ind w:firstLine="860" w:firstLineChars="200"/>
        <w:outlineLvl w:val="0"/>
        <w:rPr>
          <w:rFonts w:hint="eastAsia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514350</wp:posOffset>
            </wp:positionV>
            <wp:extent cx="3197225" cy="2764790"/>
            <wp:effectExtent l="0" t="0" r="3175" b="8890"/>
            <wp:wrapSquare wrapText="bothSides"/>
            <wp:docPr id="3" name="图片 3" descr="F:/1688产品上传/硅胶卷材硅胶皮/56.png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1688产品上传/硅胶卷材硅胶皮/56.png56"/>
                    <pic:cNvPicPr>
                      <a:picLocks noChangeAspect="1"/>
                    </pic:cNvPicPr>
                  </pic:nvPicPr>
                  <pic:blipFill>
                    <a:blip r:embed="rId8"/>
                    <a:srcRect t="6773" b="6773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76479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BSZ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60</w:t>
      </w:r>
    </w:p>
    <w:p w14:paraId="655752FD">
      <w:pPr>
        <w:pStyle w:val="4"/>
        <w:spacing w:before="34" w:line="220" w:lineRule="auto"/>
        <w:ind w:firstLine="1183" w:firstLineChars="3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黑色阻燃密实硅胶卷材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6CE26F8">
      <w:pPr>
        <w:pStyle w:val="4"/>
        <w:spacing w:before="72" w:line="361" w:lineRule="auto"/>
        <w:ind w:left="807" w:right="4689" w:firstLine="497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1E4DA7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BSZ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是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由南硅新材料研制的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一款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专为高安全性要求领域研发的专业材料，具有优异的阻燃性能和宽温适应性（-60℃～220℃）。产品采用特殊配方设计，在保持硅胶优异特性的同时，满足严格的防火安全标准，是电子电气、交通运输、建筑等领域的理想选择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。</w:t>
      </w:r>
    </w:p>
    <w:p w14:paraId="71DA1026">
      <w:pPr>
        <w:spacing w:before="29"/>
        <w:rPr>
          <w:rFonts w:hint="eastAsia" w:ascii="微软雅黑" w:hAnsi="微软雅黑" w:eastAsia="微软雅黑" w:cs="微软雅黑"/>
        </w:rPr>
      </w:pP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260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260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1E4DA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1D0E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阻燃防火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：通过UL94 V-0、GB8624 B1级认证，极限氧指数（LOI）≥32%，燃烧时烟密度≤50（ASTM E662）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高温稳定性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：连续工作温度-60℃~+2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0℃，短时耐温250℃（72小时性能衰减＜10%）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机械耐久性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：压缩永久变形（70℃×22h，压缩率25%）≤15%，回弹率≥90%。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环境适应性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：抗UV、耐臭氧（ASTM D1149测试1000小时无开裂），IP68级防水。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244EA4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电子电气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动力电池组绝缘阻燃垫片、充电桩内部防火隔离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交通运输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新能源汽车电池包防火层、轨道交通电缆阻燃包覆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建筑消防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高层建筑防火密封条、 防火门窗密封件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工业领域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工业设备高温区域防护、电力设施绝缘阻燃层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76D2AA7A">
      <w:pPr>
        <w:spacing w:before="28"/>
        <w:ind w:left="420" w:leftChars="200" w:right="430" w:rightChars="205" w:firstLine="0" w:firstLineChars="0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定制化开发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尺寸范围：厚度1~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0mm（公差±0.2mm），宽度≤1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00mm。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功能扩展：背胶（丙烯酸/硅胶胶系）、导电/导热填料添加。</w:t>
            </w:r>
          </w:p>
          <w:p w14:paraId="1F8DC0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lang w:eastAsia="zh-CN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检测服务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提供CNAS实验室出具的燃烧性能（ASTM E1354）、毒性气体（EN 45545-2）测试报告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244EA4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20-60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792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1.1-1.3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5.0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200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15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9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IS062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1.0</w:t>
            </w:r>
          </w:p>
        </w:tc>
      </w:tr>
      <w:tr w14:paraId="07B980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0A4CB18">
            <w:pPr>
              <w:spacing w:before="82" w:line="222" w:lineRule="auto"/>
              <w:ind w:left="17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10"/>
                <w:sz w:val="22"/>
                <w:szCs w:val="22"/>
              </w:rPr>
              <w:t>阻燃性</w:t>
            </w:r>
          </w:p>
        </w:tc>
      </w:tr>
      <w:tr w14:paraId="28BD53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E668FD0">
            <w:pPr>
              <w:spacing w:before="84" w:line="222" w:lineRule="auto"/>
              <w:ind w:left="17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8"/>
                <w:sz w:val="22"/>
                <w:szCs w:val="22"/>
              </w:rPr>
              <w:t>阻燃性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0F9578F">
            <w:pPr>
              <w:pStyle w:val="14"/>
              <w:spacing w:before="213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40FB0BE4">
            <w:pPr>
              <w:pStyle w:val="14"/>
              <w:spacing w:before="120" w:line="189" w:lineRule="auto"/>
              <w:ind w:left="144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UL 94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982DD14">
            <w:pPr>
              <w:pStyle w:val="14"/>
              <w:spacing w:before="120" w:line="189" w:lineRule="auto"/>
              <w:ind w:firstLine="1284" w:firstLineChars="60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</w:rPr>
              <w:t>V-0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37F3A2A4">
      <w:pPr>
        <w:spacing w:line="250" w:lineRule="auto"/>
        <w:rPr>
          <w:rFonts w:hint="eastAsia" w:ascii="微软雅黑" w:hAnsi="微软雅黑" w:eastAsia="微软雅黑" w:cs="微软雅黑"/>
          <w:sz w:val="21"/>
        </w:rPr>
      </w:pPr>
    </w:p>
    <w:p w14:paraId="74BC3456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</w:rPr>
      </w:pPr>
    </w:p>
    <w:p w14:paraId="654A7177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</w:rPr>
      </w:pPr>
    </w:p>
    <w:p w14:paraId="576E68A6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3DD83119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1"/>
          <w:sz w:val="16"/>
          <w:szCs w:val="16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）</w:t>
      </w:r>
    </w:p>
    <w:p w14:paraId="10C930B0">
      <w:pPr>
        <w:pStyle w:val="4"/>
        <w:spacing w:before="139" w:line="360" w:lineRule="auto"/>
        <w:ind w:right="1086" w:firstLine="714" w:firstLineChars="300"/>
        <w:rPr>
          <w:rFonts w:hint="eastAsia" w:ascii="微软雅黑" w:hAnsi="微软雅黑" w:eastAsia="微软雅黑" w:cs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24个月（25℃以下）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，避免阳光直射。</w:t>
      </w:r>
    </w:p>
    <w:p w14:paraId="200E803E">
      <w:pPr>
        <w:spacing w:line="241" w:lineRule="auto"/>
        <w:ind w:firstLine="720" w:firstLineChars="3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防静电膜+木箱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卷材内径76mm，外径≤500mm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166367E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B1099B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29FB1D57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16B345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363632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4E1D060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3D68CA2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9D6127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FD01B53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07D368C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250AF94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3C45ED5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455B14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8894CCB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4ABDF1F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4BCDB4C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2177E03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78CA870F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358C7A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CEC2493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B14587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40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</wp:posOffset>
              </wp:positionH>
              <wp:positionV relativeFrom="paragraph">
                <wp:posOffset>171450</wp:posOffset>
              </wp:positionV>
              <wp:extent cx="7105015" cy="23495"/>
              <wp:effectExtent l="0" t="12700" r="635" b="2095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22885" y="9644380"/>
                        <a:ext cx="7105015" cy="23495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8pt;margin-top:13.5pt;height:1.85pt;width:559.45pt;z-index:251661312;mso-width-relative:page;mso-height-relative:page;" filled="f" stroked="t" coordsize="21600,21600" o:gfxdata="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0jez1wAAAAkBAAAPAAAAAAAAAAEAIAAAACIAAABkcnMvZG93bnJldi54bWxQSwEC&#10;FAAUAAAACACHTuJAKYojf/UBAAC0AwAADgAAAAAAAAABACAAAAAmAQAAZHJzL2Uyb0RvYy54bWxQ&#10;SwUGAAAAAAYABgBZAQAAjQUAAAAA&#10;">
              <v:fill on="f" focussize="0,0"/>
              <v:stroke weight="2pt" color="#1E4DA7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4C0521B4">
    <w:pPr>
      <w:spacing w:line="242" w:lineRule="auto"/>
      <w:ind w:firstLine="600" w:firstLineChars="3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2012B0"/>
    <w:rsid w:val="0A916AF7"/>
    <w:rsid w:val="0AB86B7B"/>
    <w:rsid w:val="0E74681A"/>
    <w:rsid w:val="11B90173"/>
    <w:rsid w:val="15961860"/>
    <w:rsid w:val="17B31280"/>
    <w:rsid w:val="192E24BD"/>
    <w:rsid w:val="1A2E17B1"/>
    <w:rsid w:val="1C2C2308"/>
    <w:rsid w:val="1C2D6A5C"/>
    <w:rsid w:val="1D9714EC"/>
    <w:rsid w:val="2127683B"/>
    <w:rsid w:val="23587E09"/>
    <w:rsid w:val="30493B73"/>
    <w:rsid w:val="321E1594"/>
    <w:rsid w:val="337771AE"/>
    <w:rsid w:val="33B03C20"/>
    <w:rsid w:val="3A2F2590"/>
    <w:rsid w:val="404B3C60"/>
    <w:rsid w:val="493E5F36"/>
    <w:rsid w:val="4B453F7C"/>
    <w:rsid w:val="4E920EE8"/>
    <w:rsid w:val="4ED223D5"/>
    <w:rsid w:val="575C3412"/>
    <w:rsid w:val="57994256"/>
    <w:rsid w:val="5BD30739"/>
    <w:rsid w:val="5D915272"/>
    <w:rsid w:val="5DF417F2"/>
    <w:rsid w:val="5E2D4789"/>
    <w:rsid w:val="638B7F88"/>
    <w:rsid w:val="65BD7864"/>
    <w:rsid w:val="685F0182"/>
    <w:rsid w:val="6956624D"/>
    <w:rsid w:val="6A9C0CCD"/>
    <w:rsid w:val="6CAB51F1"/>
    <w:rsid w:val="6F3E0557"/>
    <w:rsid w:val="7ED21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655</Words>
  <Characters>922</Characters>
  <TotalTime>119</TotalTime>
  <ScaleCrop>false</ScaleCrop>
  <LinksUpToDate>false</LinksUpToDate>
  <CharactersWithSpaces>964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追梦少年</cp:lastModifiedBy>
  <cp:lastPrinted>2025-03-29T09:16:00Z</cp:lastPrinted>
  <dcterms:modified xsi:type="dcterms:W3CDTF">2025-04-10T13:22:33Z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eyJoZGlkIjoiOTBhMWYxOTkwYzM4OTNjYzk0MjcyZjZkMjQ5ZmU1ZmEiLCJ1c2VySWQiOiI0ODE1ODE1ODEifQ==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F7B9375BF61142928CE78809219ACC1E_13</vt:lpwstr>
  </property>
</Properties>
</file>