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895FE">
      <w:pPr>
        <w:spacing w:before="124" w:line="212" w:lineRule="auto"/>
        <w:ind w:firstLine="712" w:firstLineChars="200"/>
        <w:outlineLvl w:val="0"/>
        <w:rPr>
          <w:rFonts w:hint="default" w:ascii="微软雅黑" w:hAnsi="微软雅黑" w:eastAsia="微软雅黑" w:cs="微软雅黑"/>
          <w:color w:val="1E4DA7"/>
          <w:sz w:val="36"/>
          <w:szCs w:val="36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1E4DA7"/>
          <w:spacing w:val="-2"/>
          <w:sz w:val="36"/>
          <w:szCs w:val="36"/>
          <w:lang w:val="en-US" w:eastAsia="zh-CN"/>
        </w:rPr>
        <w:t>BEST-SILICONE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8"/>
          <w:position w:val="14"/>
          <w:sz w:val="36"/>
          <w:szCs w:val="36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8"/>
          <w:position w:val="14"/>
          <w:sz w:val="36"/>
          <w:szCs w:val="36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  <w:lang w:val="en-US" w:eastAsia="zh-CN"/>
        </w:rPr>
        <w:t>BSY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</w:rPr>
        <w:t>-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36"/>
          <w:szCs w:val="36"/>
          <w:lang w:val="en-US" w:eastAsia="zh-CN"/>
        </w:rPr>
        <w:t>05P55KD</w:t>
      </w:r>
    </w:p>
    <w:p w14:paraId="655752FD">
      <w:pPr>
        <w:pStyle w:val="4"/>
        <w:spacing w:before="34" w:line="220" w:lineRule="auto"/>
        <w:ind w:firstLine="1720" w:firstLineChars="400"/>
        <w:jc w:val="both"/>
        <w:outlineLvl w:val="0"/>
        <w:rPr>
          <w:rFonts w:hint="eastAsia" w:ascii="微软雅黑" w:hAnsi="微软雅黑" w:eastAsia="微软雅黑" w:cs="微软雅黑"/>
          <w:color w:val="1E4DA7"/>
          <w:sz w:val="40"/>
          <w:szCs w:val="40"/>
        </w:rPr>
      </w:pPr>
      <w:r>
        <w:rPr>
          <w:rFonts w:hint="default" w:ascii="微软雅黑" w:hAnsi="微软雅黑" w:eastAsia="微软雅黑" w:cs="微软雅黑"/>
          <w:color w:val="1E4DA7"/>
          <w:sz w:val="43"/>
          <w:szCs w:val="43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4497070</wp:posOffset>
            </wp:positionH>
            <wp:positionV relativeFrom="paragraph">
              <wp:posOffset>171450</wp:posOffset>
            </wp:positionV>
            <wp:extent cx="2738755" cy="2369185"/>
            <wp:effectExtent l="0" t="0" r="4445" b="8255"/>
            <wp:wrapSquare wrapText="bothSides"/>
            <wp:docPr id="3" name="图片 3" descr="F:/1688产品上传/硅胶海绵泡棉/新建项目10.jpg新建项目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:/1688产品上传/硅胶海绵泡棉/新建项目10.jpg新建项目10"/>
                    <pic:cNvPicPr>
                      <a:picLocks noChangeAspect="1"/>
                    </pic:cNvPicPr>
                  </pic:nvPicPr>
                  <pic:blipFill>
                    <a:blip r:embed="rId8"/>
                    <a:srcRect t="6766" b="6766"/>
                    <a:stretch>
                      <a:fillRect/>
                    </a:stretch>
                  </pic:blipFill>
                  <pic:spPr>
                    <a:xfrm>
                      <a:off x="0" y="0"/>
                      <a:ext cx="2738755" cy="2369185"/>
                    </a:xfrm>
                    <a:prstGeom prst="round2Diag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40"/>
          <w:szCs w:val="40"/>
          <w:lang w:eastAsia="zh-CN"/>
        </w:rPr>
        <w:t>抗静电硅橡胶</w:t>
      </w:r>
      <w:r>
        <w:rPr>
          <w:rFonts w:hint="eastAsia" w:ascii="微软雅黑" w:hAnsi="微软雅黑" w:eastAsia="微软雅黑" w:cs="微软雅黑"/>
          <w:b/>
          <w:bCs/>
          <w:color w:val="1E4DA7"/>
          <w:spacing w:val="-3"/>
          <w:sz w:val="40"/>
          <w:szCs w:val="40"/>
        </w:rPr>
        <w:t>泡棉</w:t>
      </w:r>
    </w:p>
    <w:p w14:paraId="73C163EE">
      <w:pPr>
        <w:spacing w:line="420" w:lineRule="auto"/>
        <w:rPr>
          <w:rFonts w:hint="eastAsia" w:ascii="微软雅黑" w:hAnsi="微软雅黑" w:eastAsia="微软雅黑" w:cs="微软雅黑"/>
          <w:color w:val="1E4DA7"/>
          <w:sz w:val="21"/>
        </w:rPr>
      </w:pPr>
    </w:p>
    <w:p w14:paraId="71DA1026">
      <w:pPr>
        <w:pStyle w:val="4"/>
        <w:spacing w:before="72" w:line="360" w:lineRule="auto"/>
        <w:ind w:left="802" w:right="4706"/>
        <w:jc w:val="both"/>
        <w:rPr>
          <w:rFonts w:hint="eastAsia" w:ascii="微软雅黑" w:hAnsi="微软雅黑" w:eastAsia="微软雅黑" w:cs="微软雅黑"/>
          <w:color w:val="1E4DA7"/>
          <w:sz w:val="22"/>
          <w:szCs w:val="22"/>
        </w:rPr>
      </w:pP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  <w:lang w:val="en-US" w:eastAsia="zh-CN"/>
        </w:rPr>
        <w:t xml:space="preserve">BEST-SILICONE 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sz w:val="22"/>
          <w:szCs w:val="22"/>
          <w:lang w:val="en-US" w:eastAsia="zh-CN"/>
        </w:rPr>
        <w:t>BSY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sz w:val="22"/>
          <w:szCs w:val="22"/>
        </w:rPr>
        <w:t>-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pacing w:val="-5"/>
          <w:sz w:val="22"/>
          <w:szCs w:val="22"/>
          <w:lang w:val="en-US" w:eastAsia="zh-CN"/>
        </w:rPr>
        <w:t>05P55KD</w:t>
      </w:r>
      <w:bookmarkStart w:id="0" w:name="_GoBack"/>
      <w:bookmarkEnd w:id="0"/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是一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  <w:lang w:eastAsia="zh-CN"/>
        </w:rPr>
        <w:t>款由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</w:rPr>
        <w:t>南硅</w:t>
      </w:r>
      <w:r>
        <w:rPr>
          <w:rFonts w:hint="eastAsia" w:ascii="微软雅黑" w:hAnsi="微软雅黑" w:eastAsia="微软雅黑" w:cs="微软雅黑"/>
          <w:b w:val="0"/>
          <w:bCs w:val="0"/>
          <w:color w:val="1E4DA7"/>
          <w:sz w:val="22"/>
          <w:szCs w:val="22"/>
          <w:lang w:eastAsia="zh-CN"/>
        </w:rPr>
        <w:t>新材料研制的</w:t>
      </w:r>
      <w:r>
        <w:rPr>
          <w:rFonts w:hint="eastAsia" w:ascii="微软雅黑" w:hAnsi="微软雅黑" w:eastAsia="微软雅黑" w:cs="微软雅黑"/>
          <w:color w:val="1E4DA7"/>
          <w:sz w:val="22"/>
          <w:szCs w:val="22"/>
          <w:lang w:eastAsia="zh-CN"/>
        </w:rPr>
        <w:t>抗静电硅</w:t>
      </w:r>
      <w:r>
        <w:rPr>
          <w:rFonts w:hint="eastAsia" w:ascii="微软雅黑" w:hAnsi="微软雅黑" w:eastAsia="微软雅黑" w:cs="微软雅黑"/>
          <w:color w:val="1E4DA7"/>
          <w:sz w:val="22"/>
          <w:szCs w:val="22"/>
        </w:rPr>
        <w:t>橡胶泡棉卷材，专为电子、汽车、医疗等领域设计的高性能缓冲密封材料，兼具卓越的抗静电特性与硅胶的耐候性，能有效保护精密器件免受静电损伤，同时提供持久缓冲和密封效果。</w:t>
      </w:r>
    </w:p>
    <w:p w14:paraId="06DF06AD">
      <w:pPr>
        <w:spacing w:before="29"/>
        <w:rPr>
          <w:rFonts w:hint="eastAsia" w:ascii="微软雅黑" w:hAnsi="微软雅黑" w:eastAsia="微软雅黑" w:cs="微软雅黑"/>
        </w:rPr>
      </w:pPr>
    </w:p>
    <w:tbl>
      <w:tblPr>
        <w:tblStyle w:val="8"/>
        <w:tblpPr w:leftFromText="180" w:rightFromText="180" w:vertAnchor="text" w:horzAnchor="page" w:tblpX="633" w:tblpY="196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0070C0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50"/>
      </w:tblGrid>
      <w:tr w14:paraId="7D0D9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7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11250" w:type="dxa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center"/>
          </w:tcPr>
          <w:p w14:paraId="2D66AE33">
            <w:pPr>
              <w:widowControl w:val="0"/>
              <w:tabs>
                <w:tab w:val="center" w:pos="5577"/>
                <w:tab w:val="left" w:pos="8502"/>
              </w:tabs>
              <w:spacing w:before="29"/>
              <w:jc w:val="left"/>
              <w:rPr>
                <w:rFonts w:hint="eastAsia" w:ascii="微软雅黑" w:hAnsi="微软雅黑" w:eastAsia="微软雅黑" w:cs="微软雅黑"/>
                <w:b/>
                <w:i w:val="0"/>
                <w:vertAlign w:val="baseline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 w:themeColor="background1"/>
                <w:spacing w:val="-4"/>
                <w:sz w:val="36"/>
                <w:szCs w:val="36"/>
                <w:lang w:eastAsia="zh-CN"/>
                <w14:textFill>
                  <w14:solidFill>
                    <w14:schemeClr w14:val="bg1"/>
                  </w14:solidFill>
                </w14:textFill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 w:themeColor="background1"/>
                <w:spacing w:val="-4"/>
                <w:sz w:val="36"/>
                <w:szCs w:val="36"/>
                <w14:textFill>
                  <w14:solidFill>
                    <w14:schemeClr w14:val="bg1"/>
                  </w14:solidFill>
                </w14:textFill>
              </w:rPr>
              <w:t>特点与优势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 w:themeColor="background1"/>
                <w:spacing w:val="-4"/>
                <w:sz w:val="36"/>
                <w:szCs w:val="36"/>
                <w:lang w:eastAsia="zh-CN"/>
                <w14:textFill>
                  <w14:solidFill>
                    <w14:schemeClr w14:val="bg1"/>
                  </w14:solidFill>
                </w14:textFill>
              </w:rPr>
              <w:tab/>
            </w:r>
          </w:p>
        </w:tc>
      </w:tr>
      <w:tr w14:paraId="769F42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0070C0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1250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center"/>
          </w:tcPr>
          <w:p w14:paraId="7A235815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抗静电性能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：表面电阻率稳定在10⁴~10⁹Ω/sq，有效防止静电积累，保护敏感电子元件</w:t>
            </w:r>
            <w:r>
              <w:rPr>
                <w:rFonts w:hint="eastAsia" w:ascii="微软雅黑" w:hAnsi="微软雅黑" w:eastAsia="微软雅黑" w:cs="微软雅黑"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47AD49AE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优异缓冲与密封性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高回弹硅胶泡棉结构，提供持久压缩形变恢复能力（≤10%）</w:t>
            </w:r>
            <w:r>
              <w:rPr>
                <w:rFonts w:hint="eastAsia" w:ascii="微软雅黑" w:hAnsi="微软雅黑" w:eastAsia="微软雅黑" w:cs="微软雅黑"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1A9D7F3B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耐环境性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宽温适用（-50℃~200℃），耐UV、耐臭氧、耐化学腐蚀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1E95924F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spacing w:before="0" w:beforeAutospacing="1" w:after="0" w:afterAutospacing="1"/>
              <w:ind w:left="420" w:leftChars="0" w:hanging="420" w:firstLineChars="0"/>
              <w:rPr>
                <w:rFonts w:hint="eastAsia" w:ascii="微软雅黑" w:hAnsi="微软雅黑" w:eastAsia="微软雅黑" w:cs="微软雅黑"/>
                <w:b w:val="0"/>
                <w:i w:val="0"/>
                <w:vertAlign w:val="baseline"/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易加工性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支持模切、冲压、背胶等定制加工</w:t>
            </w:r>
            <w:r>
              <w:rPr>
                <w:rFonts w:hint="eastAsia" w:ascii="微软雅黑" w:hAnsi="微软雅黑" w:eastAsia="微软雅黑" w:cs="微软雅黑"/>
                <w:b w:val="0"/>
                <w:bCs w:val="0"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</w:tc>
      </w:tr>
    </w:tbl>
    <w:p w14:paraId="096D1AD3">
      <w:pPr>
        <w:spacing w:before="28"/>
        <w:jc w:val="center"/>
        <w:rPr>
          <w:rFonts w:hint="eastAsia" w:ascii="微软雅黑" w:hAnsi="微软雅黑" w:eastAsia="微软雅黑" w:cs="微软雅黑"/>
        </w:rPr>
      </w:pPr>
    </w:p>
    <w:tbl>
      <w:tblPr>
        <w:tblStyle w:val="8"/>
        <w:tblpPr w:leftFromText="180" w:rightFromText="180" w:vertAnchor="text" w:horzAnchor="page" w:tblpX="623" w:tblpY="46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30"/>
        <w:gridCol w:w="6569"/>
      </w:tblGrid>
      <w:tr w14:paraId="2C121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1199" w:type="dxa"/>
            <w:gridSpan w:val="2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top"/>
          </w:tcPr>
          <w:p w14:paraId="302FB3CE">
            <w:pPr>
              <w:widowControl w:val="0"/>
              <w:tabs>
                <w:tab w:val="left" w:pos="4012"/>
                <w:tab w:val="center" w:pos="5551"/>
                <w:tab w:val="center" w:pos="5577"/>
                <w:tab w:val="left" w:pos="8502"/>
              </w:tabs>
              <w:spacing w:before="29"/>
              <w:jc w:val="left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ab/>
            </w: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vertAlign w:val="baseline"/>
                <w:lang w:val="en-US" w:eastAsia="zh-CN"/>
              </w:rPr>
              <w:t>典型应用</w:t>
            </w:r>
          </w:p>
        </w:tc>
      </w:tr>
      <w:tr w14:paraId="5F573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79B5D46A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 xml:space="preserve"> 电子行业</w:t>
            </w:r>
          </w:p>
        </w:tc>
        <w:tc>
          <w:tcPr>
            <w:tcW w:w="6569" w:type="dxa"/>
            <w:tcBorders>
              <w:top w:val="single" w:color="EDF2F8" w:themeColor="accent1" w:themeTint="19" w:sz="12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0F7963D2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智能手机/平板电脑的EMI屏蔽垫片、电池缓冲密封</w:t>
            </w:r>
          </w:p>
        </w:tc>
      </w:tr>
      <w:tr w14:paraId="76EC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521556C7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汽车电子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00AB7813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车载显示屏防震垫、传感器密封圈</w:t>
            </w:r>
          </w:p>
        </w:tc>
      </w:tr>
      <w:tr w14:paraId="250A62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1A339D75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工业领域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4DE22B76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管道法兰密封、机械设备减震</w:t>
            </w:r>
          </w:p>
        </w:tc>
      </w:tr>
      <w:tr w14:paraId="6AA70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4630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4859F5E7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医疗设备</w:t>
            </w:r>
          </w:p>
        </w:tc>
        <w:tc>
          <w:tcPr>
            <w:tcW w:w="6569" w:type="dxa"/>
            <w:tcBorders>
              <w:top w:val="single" w:color="7BA0CD" w:themeColor="accent1" w:themeTint="BF" w:sz="6" w:space="0"/>
              <w:left w:val="nil"/>
              <w:bottom w:val="single" w:color="7BA0CD" w:themeColor="accent1" w:themeTint="BF" w:sz="6" w:space="0"/>
              <w:right w:val="nil"/>
            </w:tcBorders>
            <w:shd w:val="clear" w:color="auto" w:fill="0070C0"/>
            <w:vAlign w:val="top"/>
          </w:tcPr>
          <w:p w14:paraId="3AED121E">
            <w:pPr>
              <w:widowControl w:val="0"/>
              <w:spacing w:before="28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FFFFFF" w:themeColor="background1"/>
                <w:sz w:val="22"/>
                <w:szCs w:val="22"/>
                <w:vertAlign w:val="baseli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精密仪器防静电包装、医疗设备密封件</w:t>
            </w:r>
          </w:p>
        </w:tc>
      </w:tr>
    </w:tbl>
    <w:p w14:paraId="669F3282">
      <w:pPr>
        <w:spacing w:before="28"/>
        <w:rPr>
          <w:rFonts w:hint="eastAsia" w:ascii="微软雅黑" w:hAnsi="微软雅黑" w:eastAsia="微软雅黑" w:cs="微软雅黑"/>
        </w:rPr>
      </w:pPr>
    </w:p>
    <w:p w14:paraId="5F537940">
      <w:pPr>
        <w:spacing w:before="28"/>
        <w:rPr>
          <w:rFonts w:hint="eastAsia" w:ascii="微软雅黑" w:hAnsi="微软雅黑" w:eastAsia="微软雅黑" w:cs="微软雅黑"/>
        </w:rPr>
      </w:pPr>
    </w:p>
    <w:p w14:paraId="2E986F87">
      <w:pPr>
        <w:spacing w:before="28"/>
        <w:rPr>
          <w:rFonts w:hint="eastAsia" w:ascii="微软雅黑" w:hAnsi="微软雅黑" w:eastAsia="微软雅黑" w:cs="微软雅黑"/>
        </w:rPr>
      </w:pPr>
    </w:p>
    <w:p w14:paraId="6BF1C2A2">
      <w:pPr>
        <w:spacing w:before="28"/>
        <w:rPr>
          <w:rFonts w:hint="eastAsia" w:ascii="微软雅黑" w:hAnsi="微软雅黑" w:eastAsia="微软雅黑" w:cs="微软雅黑"/>
        </w:rPr>
      </w:pPr>
    </w:p>
    <w:p w14:paraId="2C1C8EA3">
      <w:pPr>
        <w:spacing w:before="28"/>
        <w:rPr>
          <w:rFonts w:hint="eastAsia" w:ascii="微软雅黑" w:hAnsi="微软雅黑" w:eastAsia="微软雅黑" w:cs="微软雅黑"/>
        </w:rPr>
      </w:pPr>
    </w:p>
    <w:p w14:paraId="2FA4C2D4">
      <w:pPr>
        <w:spacing w:before="28"/>
        <w:rPr>
          <w:rFonts w:hint="eastAsia" w:ascii="微软雅黑" w:hAnsi="微软雅黑" w:eastAsia="微软雅黑" w:cs="微软雅黑"/>
        </w:rPr>
      </w:pPr>
    </w:p>
    <w:tbl>
      <w:tblPr>
        <w:tblStyle w:val="13"/>
        <w:tblW w:w="11220" w:type="dxa"/>
        <w:tblInd w:w="509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20"/>
      </w:tblGrid>
      <w:tr w14:paraId="496E6D6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1220" w:type="dxa"/>
            <w:tcBorders>
              <w:top w:val="nil"/>
              <w:left w:val="nil"/>
              <w:bottom w:val="single" w:color="EDF2F8" w:themeColor="accent1" w:themeTint="19" w:sz="12" w:space="0"/>
              <w:right w:val="nil"/>
            </w:tcBorders>
            <w:shd w:val="clear" w:color="auto" w:fill="1E4DA7"/>
            <w:vAlign w:val="top"/>
          </w:tcPr>
          <w:p w14:paraId="26C34F7B">
            <w:pPr>
              <w:spacing w:before="165" w:line="177" w:lineRule="auto"/>
              <w:jc w:val="center"/>
              <w:rPr>
                <w:rFonts w:hint="default" w:ascii="微软雅黑" w:hAnsi="微软雅黑" w:eastAsia="微软雅黑" w:cs="微软雅黑"/>
                <w:b/>
                <w:i w:val="0"/>
                <w:color w:val="FFFFFF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/>
                <w:i w:val="0"/>
                <w:color w:val="FFFFFF"/>
                <w:sz w:val="36"/>
                <w:szCs w:val="36"/>
                <w:lang w:val="en-US" w:eastAsia="zh-CN"/>
              </w:rPr>
              <w:t>服务支持</w:t>
            </w:r>
          </w:p>
        </w:tc>
      </w:tr>
      <w:tr w14:paraId="58A15199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1220" w:type="dxa"/>
            <w:tcBorders>
              <w:top w:val="single" w:color="EDF2F8" w:themeColor="accent1" w:themeTint="19" w:sz="12" w:space="0"/>
              <w:left w:val="nil"/>
              <w:bottom w:val="nil"/>
              <w:right w:val="nil"/>
            </w:tcBorders>
            <w:shd w:val="clear" w:color="auto" w:fill="0070C0"/>
            <w:vAlign w:val="top"/>
          </w:tcPr>
          <w:p w14:paraId="17737421">
            <w:pPr>
              <w:keepNext w:val="0"/>
              <w:keepLines w:val="0"/>
              <w:widowControl/>
              <w:suppressLineNumbers w:val="0"/>
              <w:rPr>
                <w:rStyle w:val="10"/>
                <w:rFonts w:hint="eastAsia" w:ascii="微软雅黑" w:hAnsi="微软雅黑" w:eastAsia="微软雅黑" w:cs="微软雅黑"/>
                <w:b w:val="0"/>
                <w:i w:val="0"/>
                <w:color w:val="FFFFFF"/>
              </w:rPr>
            </w:pPr>
          </w:p>
          <w:p w14:paraId="1514921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性能测试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：可提供第三方检测报告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。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 xml:space="preserve"> </w:t>
            </w:r>
          </w:p>
          <w:p w14:paraId="586EFAF1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:lang w:eastAsia="zh-CN"/>
                <w14:textFill>
                  <w14:solidFill>
                    <w14:schemeClr w14:val="bg1"/>
                  </w14:solidFill>
                </w14:textFill>
              </w:rPr>
              <w:t>定制服务：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提供材料选型、结构优化建议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 xml:space="preserve">。 </w:t>
            </w:r>
          </w:p>
          <w:p w14:paraId="7334F834">
            <w:pPr>
              <w:keepNext w:val="0"/>
              <w:keepLines w:val="0"/>
              <w:widowControl/>
              <w:numPr>
                <w:ilvl w:val="0"/>
                <w:numId w:val="2"/>
              </w:numPr>
              <w:suppressLineNumbers w:val="0"/>
              <w:spacing w:before="0" w:beforeAutospacing="1" w:after="0" w:afterAutospacing="1"/>
              <w:ind w:left="425" w:leftChars="0" w:hanging="205" w:firstLineChars="0"/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Style w:val="10"/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生产保障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：快速打样周期7天批量订单10-15天全程质量追溯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FFFFFF" w:themeColor="background1"/>
                <w:sz w:val="22"/>
                <w:szCs w:val="22"/>
                <w14:textFill>
                  <w14:solidFill>
                    <w14:schemeClr w14:val="bg1"/>
                  </w14:solidFill>
                </w14:textFill>
              </w:rPr>
              <w:t>。</w:t>
            </w:r>
          </w:p>
          <w:p w14:paraId="3E3662FD">
            <w:pPr>
              <w:spacing w:before="165" w:line="177" w:lineRule="auto"/>
              <w:ind w:left="836"/>
              <w:rPr>
                <w:rFonts w:hint="eastAsia" w:ascii="微软雅黑" w:hAnsi="微软雅黑" w:eastAsia="微软雅黑" w:cs="微软雅黑"/>
                <w:b w:val="0"/>
                <w:i w:val="0"/>
                <w:color w:val="FFFFFF"/>
                <w:sz w:val="22"/>
                <w:szCs w:val="22"/>
              </w:rPr>
            </w:pPr>
          </w:p>
        </w:tc>
      </w:tr>
    </w:tbl>
    <w:p w14:paraId="6E7425D4">
      <w:pPr>
        <w:spacing w:line="274" w:lineRule="auto"/>
        <w:ind w:firstLine="632" w:firstLineChars="400"/>
        <w:rPr>
          <w:rFonts w:hint="eastAsia" w:ascii="微软雅黑" w:hAnsi="微软雅黑" w:eastAsia="微软雅黑" w:cs="微软雅黑"/>
          <w:spacing w:val="-1"/>
          <w:sz w:val="16"/>
          <w:szCs w:val="16"/>
          <w:u w:val="single"/>
        </w:rPr>
      </w:pPr>
    </w:p>
    <w:p w14:paraId="4C6F7558">
      <w:pPr>
        <w:spacing w:line="274" w:lineRule="auto"/>
        <w:ind w:firstLine="632" w:firstLineChars="400"/>
        <w:rPr>
          <w:rFonts w:hint="eastAsia" w:ascii="微软雅黑" w:hAnsi="微软雅黑" w:eastAsia="微软雅黑" w:cs="微软雅黑"/>
          <w:spacing w:val="-1"/>
          <w:sz w:val="16"/>
          <w:szCs w:val="16"/>
          <w:u w:val="single"/>
        </w:rPr>
      </w:pPr>
    </w:p>
    <w:p w14:paraId="46F2CA00">
      <w:pPr>
        <w:pStyle w:val="4"/>
        <w:spacing w:before="78" w:line="219" w:lineRule="auto"/>
        <w:ind w:left="813"/>
        <w:outlineLvl w:val="0"/>
        <w:rPr>
          <w:rFonts w:hint="eastAsia" w:ascii="微软雅黑" w:hAnsi="微软雅黑" w:eastAsia="微软雅黑" w:cs="微软雅黑"/>
          <w:b/>
          <w:bCs/>
          <w:spacing w:val="-6"/>
          <w:sz w:val="24"/>
          <w:szCs w:val="24"/>
        </w:rPr>
      </w:pPr>
    </w:p>
    <w:p w14:paraId="1F8FDEE1">
      <w:pPr>
        <w:spacing w:line="25" w:lineRule="exact"/>
        <w:rPr>
          <w:rFonts w:hint="eastAsia" w:ascii="微软雅黑" w:hAnsi="微软雅黑" w:eastAsia="微软雅黑" w:cs="微软雅黑"/>
        </w:rPr>
      </w:pPr>
    </w:p>
    <w:tbl>
      <w:tblPr>
        <w:tblStyle w:val="13"/>
        <w:tblW w:w="11235" w:type="dxa"/>
        <w:tblInd w:w="494" w:type="dxa"/>
        <w:tblBorders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5"/>
        <w:gridCol w:w="1971"/>
        <w:gridCol w:w="3297"/>
        <w:gridCol w:w="3412"/>
      </w:tblGrid>
      <w:tr w14:paraId="6D740B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1235" w:type="dxa"/>
            <w:gridSpan w:val="4"/>
            <w:tcBorders>
              <w:top w:val="single" w:color="4F81BD" w:themeColor="accent1" w:sz="6" w:space="0"/>
              <w:left w:val="nil"/>
              <w:bottom w:val="nil"/>
              <w:right w:val="nil"/>
            </w:tcBorders>
            <w:shd w:val="clear" w:color="auto" w:fill="1E4DA7"/>
            <w:vAlign w:val="top"/>
          </w:tcPr>
          <w:p w14:paraId="01677A41">
            <w:pPr>
              <w:spacing w:before="75" w:line="219" w:lineRule="auto"/>
              <w:ind w:left="1140" w:firstLine="3830" w:firstLineChars="1100"/>
              <w:jc w:val="both"/>
              <w:outlineLvl w:val="0"/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spacing w:val="-7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FFFFFF"/>
                <w:spacing w:val="-6"/>
                <w:sz w:val="36"/>
                <w:szCs w:val="36"/>
              </w:rPr>
              <w:t>典型物性</w:t>
            </w:r>
          </w:p>
        </w:tc>
      </w:tr>
      <w:tr w14:paraId="160BBFB4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16C4FB">
            <w:pPr>
              <w:spacing w:before="75" w:line="219" w:lineRule="auto"/>
              <w:ind w:firstLine="896" w:firstLineChars="40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8"/>
                <w:sz w:val="24"/>
                <w:szCs w:val="24"/>
              </w:rPr>
              <w:t>特性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0054DD7A">
            <w:pPr>
              <w:spacing w:before="75" w:line="220" w:lineRule="auto"/>
              <w:ind w:firstLine="666" w:firstLineChars="30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9"/>
                <w:sz w:val="24"/>
                <w:szCs w:val="24"/>
              </w:rPr>
              <w:t>单位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5C1933">
            <w:pPr>
              <w:spacing w:before="75" w:line="221" w:lineRule="auto"/>
              <w:ind w:left="1248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5"/>
                <w:sz w:val="24"/>
                <w:szCs w:val="24"/>
              </w:rPr>
              <w:t>测试方法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75217AA">
            <w:pPr>
              <w:spacing w:before="75" w:line="219" w:lineRule="auto"/>
              <w:ind w:left="1140"/>
              <w:outlineLvl w:val="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7"/>
                <w:sz w:val="24"/>
                <w:szCs w:val="24"/>
              </w:rPr>
              <w:t>典型值</w:t>
            </w:r>
          </w:p>
        </w:tc>
      </w:tr>
      <w:tr w14:paraId="557EF2D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112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43AC59F">
            <w:pPr>
              <w:spacing w:before="78" w:line="222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4"/>
                <w:sz w:val="22"/>
                <w:szCs w:val="22"/>
              </w:rPr>
              <w:t>基础性能</w:t>
            </w:r>
          </w:p>
        </w:tc>
      </w:tr>
      <w:tr w14:paraId="0CF630A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FADD3E">
            <w:pPr>
              <w:spacing w:before="81" w:line="222" w:lineRule="auto"/>
              <w:ind w:left="1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颜色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2EF0433">
            <w:pPr>
              <w:pStyle w:val="14"/>
              <w:spacing w:before="210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A2A85F6">
            <w:pPr>
              <w:pStyle w:val="14"/>
              <w:spacing w:before="210" w:line="106" w:lineRule="exact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  <w:t>目测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43D192">
            <w:pPr>
              <w:spacing w:before="81" w:line="220" w:lineRule="auto"/>
              <w:ind w:left="61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  <w:lang w:eastAsia="zh-CN"/>
              </w:rPr>
              <w:t>灰色（可定制）</w:t>
            </w:r>
          </w:p>
        </w:tc>
      </w:tr>
      <w:tr w14:paraId="6EC7367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A087FBC">
            <w:pPr>
              <w:spacing w:before="81" w:line="219" w:lineRule="auto"/>
              <w:ind w:left="1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尺寸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349A47F">
            <w:pPr>
              <w:pStyle w:val="14"/>
              <w:spacing w:before="212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19296D5">
            <w:pPr>
              <w:pStyle w:val="14"/>
              <w:spacing w:before="212" w:line="106" w:lineRule="exact"/>
              <w:ind w:left="169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C4DE7A9">
            <w:pPr>
              <w:pStyle w:val="14"/>
              <w:spacing w:before="81" w:line="220" w:lineRule="auto"/>
              <w:ind w:left="192" w:firstLine="416" w:firstLineChars="2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6"/>
                <w:lang w:eastAsia="zh-CN"/>
              </w:rPr>
              <w:t>卷材，片材可选</w:t>
            </w:r>
          </w:p>
        </w:tc>
      </w:tr>
      <w:tr w14:paraId="726824B5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6F745AE">
            <w:pPr>
              <w:spacing w:before="83" w:line="221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硬度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5D26C99">
            <w:pPr>
              <w:pStyle w:val="14"/>
              <w:spacing w:before="114" w:line="193" w:lineRule="auto"/>
              <w:ind w:left="791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Shore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>A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5290096F">
            <w:pPr>
              <w:pStyle w:val="14"/>
              <w:spacing w:before="114" w:line="193" w:lineRule="auto"/>
              <w:ind w:firstLine="872" w:firstLineChars="40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2240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2A1C62DA">
            <w:pPr>
              <w:pStyle w:val="14"/>
              <w:spacing w:before="119" w:line="189" w:lineRule="auto"/>
              <w:ind w:left="1380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>20-55</w:t>
            </w:r>
          </w:p>
        </w:tc>
      </w:tr>
      <w:tr w14:paraId="33C00AA1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5136800">
            <w:pPr>
              <w:spacing w:before="83" w:line="221" w:lineRule="auto"/>
              <w:ind w:left="15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密度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2216280F">
            <w:pPr>
              <w:pStyle w:val="14"/>
              <w:spacing w:before="101" w:line="208" w:lineRule="auto"/>
              <w:ind w:left="95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14"/>
                <w:szCs w:val="14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g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/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c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m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6"/>
                <w:sz w:val="14"/>
                <w:szCs w:val="14"/>
              </w:rPr>
              <w:t>3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D2DCD9B">
            <w:pPr>
              <w:pStyle w:val="14"/>
              <w:spacing w:before="121" w:line="189" w:lineRule="auto"/>
              <w:ind w:left="1088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3574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D358248">
            <w:pPr>
              <w:pStyle w:val="14"/>
              <w:spacing w:before="121" w:line="189" w:lineRule="auto"/>
              <w:ind w:left="1323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0.45-0.65</w:t>
            </w:r>
          </w:p>
        </w:tc>
      </w:tr>
      <w:tr w14:paraId="5F98AE5F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A4CC2BE">
            <w:pPr>
              <w:spacing w:before="84" w:line="221" w:lineRule="auto"/>
              <w:ind w:left="15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sz w:val="22"/>
                <w:szCs w:val="22"/>
              </w:rPr>
              <w:t>拉伸强度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656687B">
            <w:pPr>
              <w:pStyle w:val="14"/>
              <w:spacing w:before="116" w:line="192" w:lineRule="auto"/>
              <w:ind w:left="105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M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Pa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63052CE">
            <w:pPr>
              <w:pStyle w:val="14"/>
              <w:spacing w:before="120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D412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03059DA">
            <w:pPr>
              <w:pStyle w:val="14"/>
              <w:spacing w:before="120" w:line="189" w:lineRule="auto"/>
              <w:ind w:left="1329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3"/>
                <w:lang w:val="en-US" w:eastAsia="zh-CN"/>
              </w:rPr>
              <w:t>1.2</w:t>
            </w:r>
          </w:p>
        </w:tc>
      </w:tr>
      <w:tr w14:paraId="3184319B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764E021">
            <w:pPr>
              <w:spacing w:before="83" w:line="220" w:lineRule="auto"/>
              <w:ind w:left="16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4"/>
                <w:sz w:val="22"/>
                <w:szCs w:val="22"/>
              </w:rPr>
              <w:t>断裂伸长率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62D0F31D">
            <w:pPr>
              <w:pStyle w:val="14"/>
              <w:spacing w:before="121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54B822D7">
            <w:pPr>
              <w:pStyle w:val="14"/>
              <w:spacing w:before="121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D412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4C7E7EAF">
            <w:pPr>
              <w:pStyle w:val="14"/>
              <w:spacing w:before="121" w:line="189" w:lineRule="auto"/>
              <w:ind w:left="1346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9"/>
                <w:lang w:val="en-US" w:eastAsia="zh-CN"/>
              </w:rPr>
              <w:t>150</w:t>
            </w:r>
          </w:p>
        </w:tc>
      </w:tr>
      <w:tr w14:paraId="068F409D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69926D65">
            <w:pPr>
              <w:spacing w:before="84" w:line="221" w:lineRule="auto"/>
              <w:ind w:left="155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</w:rPr>
              <w:t>撕裂强度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ACFDE13">
            <w:pPr>
              <w:pStyle w:val="14"/>
              <w:spacing w:before="116" w:line="193" w:lineRule="auto"/>
              <w:ind w:left="96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kN/m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6B44A147">
            <w:pPr>
              <w:pStyle w:val="14"/>
              <w:spacing w:before="120" w:line="189" w:lineRule="auto"/>
              <w:ind w:left="1143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ASTM D624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52DEB34E">
            <w:pPr>
              <w:pStyle w:val="14"/>
              <w:spacing w:before="120" w:line="189" w:lineRule="auto"/>
              <w:ind w:left="1375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9"/>
                <w:lang w:val="en-US" w:eastAsia="zh-CN"/>
              </w:rPr>
              <w:t>8</w:t>
            </w:r>
          </w:p>
        </w:tc>
      </w:tr>
      <w:tr w14:paraId="61AF4A28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D6780E3">
            <w:pPr>
              <w:spacing w:before="83" w:line="219" w:lineRule="auto"/>
              <w:ind w:left="156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sz w:val="22"/>
                <w:szCs w:val="22"/>
              </w:rPr>
              <w:t>压缩永久变形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0A85540F">
            <w:pPr>
              <w:pStyle w:val="14"/>
              <w:spacing w:before="121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B78C42B">
            <w:pPr>
              <w:pStyle w:val="14"/>
              <w:spacing w:before="117" w:line="193" w:lineRule="auto"/>
              <w:ind w:left="32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ASTM D1056,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6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</w:rPr>
              <w:t>100℃/22h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</w:rPr>
              <w:t>/50%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83103FC">
            <w:pPr>
              <w:pStyle w:val="14"/>
              <w:spacing w:before="83" w:line="237" w:lineRule="auto"/>
              <w:ind w:firstLine="1380" w:firstLineChars="500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8"/>
                <w:lang w:val="en-US" w:eastAsia="zh-CN"/>
              </w:rPr>
              <w:t>9</w:t>
            </w:r>
          </w:p>
        </w:tc>
      </w:tr>
      <w:tr w14:paraId="6C661F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43E8609">
            <w:pPr>
              <w:spacing w:before="84" w:line="220" w:lineRule="auto"/>
              <w:ind w:left="164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6"/>
                <w:sz w:val="22"/>
                <w:szCs w:val="22"/>
              </w:rPr>
              <w:t>吸水率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6"/>
                <w:sz w:val="22"/>
                <w:szCs w:val="22"/>
                <w:lang w:val="en-US" w:eastAsia="zh-CN"/>
              </w:rPr>
              <w:t>(24h)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306DDFCB">
            <w:pPr>
              <w:pStyle w:val="14"/>
              <w:spacing w:before="120" w:line="189" w:lineRule="auto"/>
              <w:ind w:left="1131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  <w:t>%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173A63BC">
            <w:pPr>
              <w:pStyle w:val="14"/>
              <w:spacing w:before="120" w:line="189" w:lineRule="auto"/>
              <w:ind w:left="1088" w:firstLine="220" w:firstLineChars="100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  <w:t>内部方法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top"/>
          </w:tcPr>
          <w:p w14:paraId="77BE65AF">
            <w:pPr>
              <w:pStyle w:val="14"/>
              <w:spacing w:before="84" w:line="237" w:lineRule="auto"/>
              <w:ind w:left="129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28"/>
                <w:lang w:val="en-US" w:eastAsia="zh-CN"/>
              </w:rPr>
              <w:t>5.0</w:t>
            </w:r>
          </w:p>
        </w:tc>
      </w:tr>
      <w:tr w14:paraId="41C67DA0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255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18E9AFF">
            <w:pPr>
              <w:spacing w:before="83" w:line="220" w:lineRule="auto"/>
              <w:ind w:left="16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防火性</w:t>
            </w:r>
          </w:p>
        </w:tc>
        <w:tc>
          <w:tcPr>
            <w:tcW w:w="197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791F4362">
            <w:pPr>
              <w:pStyle w:val="14"/>
              <w:spacing w:before="214" w:line="106" w:lineRule="exact"/>
              <w:ind w:left="1187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position w:val="-2"/>
              </w:rPr>
              <w:t>-</w:t>
            </w:r>
          </w:p>
        </w:tc>
        <w:tc>
          <w:tcPr>
            <w:tcW w:w="32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1EED6C35">
            <w:pPr>
              <w:pStyle w:val="14"/>
              <w:spacing w:before="121" w:line="189" w:lineRule="auto"/>
              <w:ind w:left="1182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1"/>
                <w:lang w:val="en-US" w:eastAsia="zh-CN"/>
              </w:rPr>
              <w:t>GB8624</w:t>
            </w: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top"/>
          </w:tcPr>
          <w:p w14:paraId="371D06C6">
            <w:pPr>
              <w:pStyle w:val="14"/>
              <w:spacing w:before="121" w:line="189" w:lineRule="auto"/>
              <w:ind w:left="1288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2"/>
                <w:lang w:val="en-US" w:eastAsia="zh-CN"/>
              </w:rPr>
              <w:t>B1级</w:t>
            </w:r>
          </w:p>
        </w:tc>
      </w:tr>
      <w:tr w14:paraId="2E5EB296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</w:trPr>
        <w:tc>
          <w:tcPr>
            <w:tcW w:w="11235" w:type="dxa"/>
            <w:gridSpan w:val="4"/>
            <w:tcBorders>
              <w:top w:val="nil"/>
              <w:left w:val="nil"/>
              <w:bottom w:val="single" w:color="4F81BD" w:themeColor="accent1" w:sz="6" w:space="0"/>
              <w:right w:val="nil"/>
            </w:tcBorders>
            <w:shd w:val="clear" w:color="auto" w:fill="F2F2F2"/>
            <w:vAlign w:val="top"/>
          </w:tcPr>
          <w:p w14:paraId="62474212">
            <w:pPr>
              <w:spacing w:before="84" w:line="222" w:lineRule="auto"/>
              <w:ind w:left="160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6"/>
                <w:sz w:val="22"/>
                <w:szCs w:val="22"/>
                <w:lang w:eastAsia="zh-CN"/>
              </w:rPr>
              <w:t>电与</w:t>
            </w:r>
            <w:r>
              <w:rPr>
                <w:rFonts w:hint="eastAsia" w:ascii="微软雅黑" w:hAnsi="微软雅黑" w:eastAsia="微软雅黑" w:cs="微软雅黑"/>
                <w:b w:val="0"/>
                <w:bCs/>
                <w:i w:val="0"/>
                <w:color w:val="000000"/>
                <w:spacing w:val="-6"/>
                <w:sz w:val="22"/>
                <w:szCs w:val="22"/>
              </w:rPr>
              <w:t>热性能</w:t>
            </w:r>
          </w:p>
        </w:tc>
      </w:tr>
      <w:tr w14:paraId="193FE582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083E5582">
            <w:pPr>
              <w:spacing w:before="83" w:line="220" w:lineRule="auto"/>
              <w:ind w:left="169"/>
              <w:jc w:val="left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2"/>
                <w:szCs w:val="22"/>
              </w:rPr>
              <w:t>介电强度</w:t>
            </w:r>
          </w:p>
        </w:tc>
        <w:tc>
          <w:tcPr>
            <w:tcW w:w="1971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55CD2D97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</w:rPr>
              <w:t>kV/mm</w:t>
            </w:r>
          </w:p>
        </w:tc>
        <w:tc>
          <w:tcPr>
            <w:tcW w:w="3297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479B01D2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2"/>
                <w:szCs w:val="22"/>
              </w:rPr>
              <w:t>IEC 60243-1</w:t>
            </w:r>
          </w:p>
        </w:tc>
        <w:tc>
          <w:tcPr>
            <w:tcW w:w="3412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47F8870">
            <w:pPr>
              <w:spacing w:before="83" w:line="220" w:lineRule="auto"/>
              <w:ind w:left="169"/>
              <w:jc w:val="center"/>
              <w:rPr>
                <w:rFonts w:hint="default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spacing w:val="-3"/>
                <w:sz w:val="22"/>
                <w:szCs w:val="22"/>
                <w:lang w:val="en-US" w:eastAsia="zh-CN"/>
              </w:rPr>
              <w:t>≥10</w:t>
            </w:r>
          </w:p>
        </w:tc>
      </w:tr>
      <w:tr w14:paraId="2F1E3E9A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4516EDA">
            <w:pPr>
              <w:spacing w:before="83" w:line="220" w:lineRule="auto"/>
              <w:ind w:left="169"/>
              <w:jc w:val="left"/>
              <w:rPr>
                <w:rFonts w:hint="eastAsia" w:ascii="微软雅黑" w:hAnsi="微软雅黑" w:eastAsia="微软雅黑" w:cs="微软雅黑"/>
                <w:spacing w:val="-2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2"/>
                <w:szCs w:val="22"/>
              </w:rPr>
              <w:t>热导率</w:t>
            </w:r>
          </w:p>
        </w:tc>
        <w:tc>
          <w:tcPr>
            <w:tcW w:w="1971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auto"/>
            <w:vAlign w:val="top"/>
          </w:tcPr>
          <w:p w14:paraId="36947AEE">
            <w:pPr>
              <w:spacing w:before="116" w:line="193" w:lineRule="auto"/>
              <w:ind w:left="794" w:leftChars="0"/>
              <w:jc w:val="both"/>
              <w:rPr>
                <w:rFonts w:hint="eastAsia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hint="eastAsia" w:ascii="微软雅黑" w:hAnsi="微软雅黑" w:eastAsia="微软雅黑" w:cs="微软雅黑"/>
                <w:spacing w:val="-4"/>
                <w:sz w:val="22"/>
                <w:szCs w:val="22"/>
              </w:rPr>
              <w:t>W/(m</w:t>
            </w:r>
            <w:r>
              <w:rPr>
                <w:rFonts w:hint="eastAsia" w:ascii="微软雅黑" w:hAnsi="微软雅黑" w:eastAsia="微软雅黑" w:cs="微软雅黑"/>
                <w:spacing w:val="-30"/>
                <w:sz w:val="22"/>
                <w:szCs w:val="22"/>
              </w:rP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4"/>
                <w:sz w:val="22"/>
                <w:szCs w:val="22"/>
              </w:rPr>
              <w:t>·K)</w:t>
            </w:r>
          </w:p>
        </w:tc>
        <w:tc>
          <w:tcPr>
            <w:tcW w:w="3297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auto"/>
            <w:vAlign w:val="top"/>
          </w:tcPr>
          <w:p w14:paraId="2BCF5990">
            <w:pPr>
              <w:spacing w:before="120" w:line="189" w:lineRule="auto"/>
              <w:ind w:left="981" w:leftChars="0"/>
              <w:jc w:val="both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1"/>
                <w:sz w:val="22"/>
                <w:szCs w:val="22"/>
              </w:rPr>
              <w:t xml:space="preserve">ASTM </w:t>
            </w:r>
            <w:r>
              <w:rPr>
                <w:rFonts w:hint="eastAsia" w:ascii="微软雅黑" w:hAnsi="微软雅黑" w:eastAsia="微软雅黑" w:cs="微软雅黑"/>
                <w:spacing w:val="-1"/>
                <w:sz w:val="22"/>
                <w:szCs w:val="22"/>
                <w:lang w:val="en-US" w:eastAsia="zh-CN"/>
              </w:rPr>
              <w:t>D5470</w:t>
            </w:r>
          </w:p>
        </w:tc>
        <w:tc>
          <w:tcPr>
            <w:tcW w:w="3412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auto"/>
            <w:vAlign w:val="top"/>
          </w:tcPr>
          <w:p w14:paraId="0DF34E9E">
            <w:pPr>
              <w:spacing w:before="120" w:line="189" w:lineRule="auto"/>
              <w:ind w:firstLine="1296" w:firstLineChars="600"/>
              <w:jc w:val="both"/>
              <w:rPr>
                <w:rFonts w:hint="default" w:ascii="微软雅黑" w:hAnsi="微软雅黑" w:eastAsia="微软雅黑" w:cs="微软雅黑"/>
                <w:snapToGrid w:val="0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spacing w:val="-2"/>
                <w:sz w:val="22"/>
                <w:szCs w:val="22"/>
                <w:lang w:val="en-US" w:eastAsia="zh-CN"/>
              </w:rPr>
              <w:t>0.18-0.25</w:t>
            </w:r>
          </w:p>
        </w:tc>
      </w:tr>
      <w:tr w14:paraId="63AD0AC3">
        <w:tblPrEx>
          <w:tblBorders>
            <w:top w:val="none" w:color="000000" w:sz="0" w:space="0"/>
            <w:left w:val="none" w:color="000000" w:sz="0" w:space="0"/>
            <w:bottom w:val="none" w:color="000000" w:sz="0" w:space="0"/>
            <w:right w:val="none" w:color="000000" w:sz="0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2555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12CDF933">
            <w:pPr>
              <w:spacing w:before="83" w:line="220" w:lineRule="auto"/>
              <w:ind w:left="169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推荐使用温度</w:t>
            </w:r>
          </w:p>
        </w:tc>
        <w:tc>
          <w:tcPr>
            <w:tcW w:w="1971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9BA7332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℃</w:t>
            </w:r>
          </w:p>
        </w:tc>
        <w:tc>
          <w:tcPr>
            <w:tcW w:w="3297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4AE002D3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SAE J2236</w:t>
            </w:r>
          </w:p>
        </w:tc>
        <w:tc>
          <w:tcPr>
            <w:tcW w:w="3412" w:type="dxa"/>
            <w:tcBorders>
              <w:top w:val="single" w:color="4F81BD" w:themeColor="accent1" w:sz="6" w:space="0"/>
              <w:left w:val="nil"/>
              <w:bottom w:val="single" w:color="4F81BD" w:themeColor="accent1" w:sz="6" w:space="0"/>
              <w:right w:val="nil"/>
            </w:tcBorders>
            <w:shd w:val="clear" w:color="auto" w:fill="FFFFFF"/>
            <w:vAlign w:val="top"/>
          </w:tcPr>
          <w:p w14:paraId="71E4DD46">
            <w:pPr>
              <w:spacing w:before="83" w:line="220" w:lineRule="auto"/>
              <w:ind w:left="169"/>
              <w:jc w:val="center"/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-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  <w:lang w:val="en-US" w:eastAsia="zh-CN"/>
              </w:rPr>
              <w:t>50</w:t>
            </w:r>
            <w:r>
              <w:rPr>
                <w:rFonts w:hint="eastAsia" w:ascii="微软雅黑" w:hAnsi="微软雅黑" w:eastAsia="微软雅黑" w:cs="微软雅黑"/>
                <w:b w:val="0"/>
                <w:i w:val="0"/>
                <w:color w:val="000000"/>
                <w:spacing w:val="-7"/>
                <w:sz w:val="22"/>
                <w:szCs w:val="22"/>
              </w:rPr>
              <w:t>~+200</w:t>
            </w:r>
          </w:p>
        </w:tc>
      </w:tr>
    </w:tbl>
    <w:p w14:paraId="1496CDCD">
      <w:pPr>
        <w:pStyle w:val="4"/>
        <w:spacing w:before="79" w:line="219" w:lineRule="auto"/>
        <w:ind w:firstLine="696" w:firstLineChars="300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</w:p>
    <w:p w14:paraId="077F7FCE">
      <w:pPr>
        <w:pStyle w:val="4"/>
        <w:spacing w:before="79" w:line="219" w:lineRule="auto"/>
        <w:ind w:firstLine="464" w:firstLineChars="200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</w:p>
    <w:p w14:paraId="001C9855">
      <w:pPr>
        <w:pStyle w:val="4"/>
        <w:spacing w:before="79" w:line="219" w:lineRule="auto"/>
        <w:ind w:firstLine="464" w:firstLineChars="200"/>
        <w:outlineLvl w:val="0"/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</w:p>
    <w:p w14:paraId="74BC3456">
      <w:pPr>
        <w:pStyle w:val="4"/>
        <w:spacing w:before="79" w:line="219" w:lineRule="auto"/>
        <w:ind w:firstLine="464" w:firstLineChars="200"/>
        <w:outlineLvl w:val="0"/>
        <w:rPr>
          <w:rFonts w:hint="default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spacing w:val="-4"/>
          <w:sz w:val="24"/>
          <w:szCs w:val="24"/>
          <w:lang w:val="en-US" w:eastAsia="zh-CN"/>
        </w:rPr>
        <w:t>使用指南</w:t>
      </w:r>
    </w:p>
    <w:p w14:paraId="0CC273E7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  <w:t>表面处理：清洁贴合面，确保无油污、灰尘。</w:t>
      </w:r>
    </w:p>
    <w:p w14:paraId="27739C6E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  <w:t>加工建议：激光切割或刀模冲压，避免毛边。</w:t>
      </w:r>
    </w:p>
    <w:p w14:paraId="627647EF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b w:val="0"/>
          <w:bCs/>
          <w:sz w:val="22"/>
          <w:szCs w:val="22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  <w:t>安装建议：贴合时需确保表面清洁干燥，背胶产品需按压增强粘性。</w:t>
      </w:r>
    </w:p>
    <w:p w14:paraId="374C3564">
      <w:pPr>
        <w:keepNext w:val="0"/>
        <w:keepLines w:val="0"/>
        <w:widowControl/>
        <w:numPr>
          <w:ilvl w:val="0"/>
          <w:numId w:val="3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b w:val="0"/>
          <w:bCs/>
          <w:sz w:val="22"/>
          <w:szCs w:val="22"/>
        </w:rPr>
      </w:pPr>
      <w:r>
        <w:rPr>
          <w:rStyle w:val="10"/>
          <w:rFonts w:hint="eastAsia" w:ascii="微软雅黑" w:hAnsi="微软雅黑" w:eastAsia="微软雅黑" w:cs="微软雅黑"/>
          <w:b w:val="0"/>
          <w:bCs/>
          <w:sz w:val="22"/>
          <w:szCs w:val="22"/>
          <w:lang w:eastAsia="zh-CN"/>
        </w:rPr>
        <w:t>环境适应性：避免长期暴露于强酸/强碱环境。</w:t>
      </w:r>
    </w:p>
    <w:p w14:paraId="19FFE85B">
      <w:pPr>
        <w:keepNext w:val="0"/>
        <w:keepLines w:val="0"/>
        <w:widowControl/>
        <w:numPr>
          <w:ilvl w:val="0"/>
          <w:numId w:val="4"/>
        </w:numPr>
        <w:suppressLineNumbers w:val="0"/>
        <w:spacing w:before="0" w:beforeAutospacing="1" w:after="0" w:afterAutospacing="1"/>
        <w:ind w:left="720" w:hanging="360"/>
        <w:rPr>
          <w:rFonts w:hint="eastAsia" w:ascii="微软雅黑" w:hAnsi="微软雅黑" w:eastAsia="微软雅黑" w:cs="微软雅黑"/>
          <w:b w:val="0"/>
          <w:bCs/>
          <w:sz w:val="22"/>
          <w:szCs w:val="22"/>
        </w:rPr>
      </w:pPr>
    </w:p>
    <w:p w14:paraId="207DE2EA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left="360" w:leftChars="0" w:firstLine="424" w:firstLineChars="200"/>
        <w:rPr>
          <w:rFonts w:hint="eastAsia" w:ascii="微软雅黑" w:hAnsi="微软雅黑" w:eastAsia="微软雅黑" w:cs="微软雅黑"/>
          <w:b/>
          <w:bCs/>
          <w:spacing w:val="-4"/>
          <w:sz w:val="22"/>
          <w:szCs w:val="22"/>
        </w:rPr>
      </w:pPr>
    </w:p>
    <w:p w14:paraId="40F28D89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424" w:firstLineChars="200"/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spacing w:val="-4"/>
          <w:sz w:val="22"/>
          <w:szCs w:val="22"/>
        </w:rPr>
        <w:t>标准尺寸公差</w:t>
      </w:r>
      <w:r>
        <w:rPr>
          <w:rFonts w:hint="eastAsia" w:ascii="微软雅黑" w:hAnsi="微软雅黑" w:eastAsia="微软雅黑" w:cs="微软雅黑"/>
          <w:b w:val="0"/>
          <w:bCs w:val="0"/>
          <w:spacing w:val="-4"/>
          <w:sz w:val="22"/>
          <w:szCs w:val="2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±0.2mm（厚度≤10mm）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±0.5mm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  <w:t>（厚度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＞10mm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eastAsia="zh-CN"/>
        </w:rPr>
        <w:t>）</w:t>
      </w:r>
    </w:p>
    <w:p w14:paraId="105E8CC4">
      <w:pPr>
        <w:keepNext w:val="0"/>
        <w:keepLines w:val="0"/>
        <w:widowControl/>
        <w:numPr>
          <w:ilvl w:val="0"/>
          <w:numId w:val="0"/>
        </w:numPr>
        <w:suppressLineNumbers w:val="0"/>
        <w:spacing w:before="0" w:beforeAutospacing="1" w:after="0" w:afterAutospacing="1"/>
        <w:ind w:firstLine="436" w:firstLineChars="200"/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</w:pPr>
      <w:r>
        <w:rPr>
          <w:rFonts w:hint="eastAsia" w:ascii="微软雅黑" w:hAnsi="微软雅黑" w:eastAsia="微软雅黑" w:cs="微软雅黑"/>
          <w:b/>
          <w:bCs/>
          <w:spacing w:val="-1"/>
          <w:position w:val="-1"/>
          <w:sz w:val="22"/>
          <w:szCs w:val="22"/>
        </w:rPr>
        <w:t>存储有效期</w:t>
      </w:r>
      <w:r>
        <w:rPr>
          <w:rFonts w:hint="eastAsia" w:ascii="微软雅黑" w:hAnsi="微软雅黑" w:eastAsia="微软雅黑" w:cs="微软雅黑"/>
          <w:b w:val="0"/>
          <w:bCs w:val="0"/>
          <w:spacing w:val="-1"/>
          <w:position w:val="-1"/>
          <w:sz w:val="22"/>
          <w:szCs w:val="2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  <w:lang w:val="en-US" w:eastAsia="zh-CN"/>
        </w:rPr>
        <w:t>24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个月（避光、阴凉干燥）</w:t>
      </w:r>
    </w:p>
    <w:p w14:paraId="200E803E">
      <w:pPr>
        <w:spacing w:line="241" w:lineRule="auto"/>
        <w:ind w:firstLine="432" w:firstLineChars="200"/>
        <w:rPr>
          <w:rFonts w:hint="eastAsia" w:ascii="微软雅黑" w:hAnsi="微软雅黑" w:eastAsia="微软雅黑" w:cs="微软雅黑"/>
          <w:sz w:val="21"/>
        </w:rPr>
      </w:pPr>
      <w:r>
        <w:rPr>
          <w:rFonts w:hint="eastAsia" w:ascii="微软雅黑" w:hAnsi="微软雅黑" w:eastAsia="微软雅黑" w:cs="微软雅黑"/>
          <w:b/>
          <w:bCs/>
          <w:spacing w:val="-2"/>
          <w:sz w:val="22"/>
          <w:szCs w:val="22"/>
        </w:rPr>
        <w:t>包装信息</w:t>
      </w:r>
      <w:r>
        <w:rPr>
          <w:rFonts w:hint="eastAsia" w:ascii="微软雅黑" w:hAnsi="微软雅黑" w:eastAsia="微软雅黑" w:cs="微软雅黑"/>
          <w:b w:val="0"/>
          <w:bCs w:val="0"/>
          <w:spacing w:val="-2"/>
          <w:sz w:val="22"/>
          <w:szCs w:val="22"/>
          <w:lang w:eastAsia="zh-CN"/>
        </w:rPr>
        <w:t>：</w:t>
      </w:r>
      <w:r>
        <w:rPr>
          <w:rFonts w:hint="eastAsia" w:ascii="微软雅黑" w:hAnsi="微软雅黑" w:eastAsia="微软雅黑" w:cs="微软雅黑"/>
          <w:b w:val="0"/>
          <w:bCs w:val="0"/>
          <w:sz w:val="22"/>
          <w:szCs w:val="22"/>
        </w:rPr>
        <w:t>防尘PE袋+纸箱，定制卷材/片材</w:t>
      </w:r>
      <w:r>
        <w:rPr>
          <w:rFonts w:hint="eastAsia" w:ascii="微软雅黑" w:hAnsi="微软雅黑" w:eastAsia="微软雅黑" w:cs="微软雅黑"/>
          <w:b w:val="0"/>
          <w:bCs w:val="0"/>
          <w:spacing w:val="7"/>
          <w:sz w:val="24"/>
          <w:szCs w:val="24"/>
        </w:rPr>
        <w:t xml:space="preserve">   </w:t>
      </w:r>
      <w:r>
        <w:rPr>
          <w:rFonts w:hint="eastAsia" w:ascii="微软雅黑" w:hAnsi="微软雅黑" w:eastAsia="微软雅黑" w:cs="微软雅黑"/>
          <w:spacing w:val="7"/>
          <w:sz w:val="24"/>
          <w:szCs w:val="24"/>
        </w:rPr>
        <w:t xml:space="preserve">            </w:t>
      </w:r>
    </w:p>
    <w:p w14:paraId="34F1C5EA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1F65758C">
      <w:pPr>
        <w:pStyle w:val="4"/>
        <w:ind w:firstLine="880" w:firstLineChars="400"/>
        <w:rPr>
          <w:rFonts w:hint="eastAsia" w:ascii="微软雅黑" w:hAnsi="微软雅黑" w:eastAsia="微软雅黑" w:cs="微软雅黑"/>
          <w:b/>
          <w:bCs/>
        </w:rPr>
      </w:pPr>
    </w:p>
    <w:p w14:paraId="787A83CD">
      <w:pPr>
        <w:spacing w:line="241" w:lineRule="auto"/>
        <w:rPr>
          <w:rFonts w:hint="eastAsia" w:ascii="微软雅黑" w:hAnsi="微软雅黑" w:eastAsia="微软雅黑" w:cs="微软雅黑"/>
          <w:sz w:val="21"/>
        </w:rPr>
      </w:pPr>
    </w:p>
    <w:p w14:paraId="53CE8896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381B6682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392A3640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p w14:paraId="6880D815">
      <w:pPr>
        <w:spacing w:line="242" w:lineRule="auto"/>
        <w:rPr>
          <w:rFonts w:hint="eastAsia" w:ascii="微软雅黑" w:hAnsi="微软雅黑" w:eastAsia="微软雅黑" w:cs="微软雅黑"/>
          <w:sz w:val="21"/>
        </w:rPr>
      </w:pPr>
    </w:p>
    <w:sectPr>
      <w:headerReference r:id="rId5" w:type="default"/>
      <w:footerReference r:id="rId6" w:type="default"/>
      <w:pgSz w:w="12191" w:h="15820"/>
      <w:pgMar w:top="1701" w:right="0" w:bottom="232" w:left="0" w:header="0" w:footer="85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B0FC0F">
    <w:pPr>
      <w:spacing w:line="242" w:lineRule="auto"/>
      <w:ind w:firstLine="534" w:firstLineChars="300"/>
      <w:jc w:val="left"/>
      <w:rPr>
        <w:rFonts w:hint="eastAsia" w:ascii="微软雅黑" w:hAnsi="微软雅黑" w:eastAsia="微软雅黑" w:cs="微软雅黑"/>
        <w:color w:val="000000" w:themeColor="text1"/>
        <w:sz w:val="18"/>
        <w:szCs w:val="18"/>
        <w:u w:val="none"/>
        <w14:textFill>
          <w14:solidFill>
            <w14:schemeClr w14:val="tx1"/>
          </w14:solidFill>
        </w14:textFill>
      </w:rPr>
    </w:pPr>
    <w:r>
      <w:rPr>
        <w:rFonts w:hint="eastAsia" w:ascii="微软雅黑" w:hAnsi="微软雅黑" w:eastAsia="微软雅黑" w:cs="微软雅黑"/>
        <w:color w:val="000000" w:themeColor="text1"/>
        <w:spacing w:val="-1"/>
        <w:sz w:val="18"/>
        <w:szCs w:val="18"/>
        <w:u w:val="none"/>
        <w14:textFill>
          <w14:solidFill>
            <w14:schemeClr w14:val="tx1"/>
          </w14:solidFill>
        </w14:textFill>
      </w:rPr>
      <w:t>声明：</w:t>
    </w:r>
    <w:r>
      <w:rPr>
        <w:rFonts w:hint="eastAsia" w:ascii="微软雅黑" w:hAnsi="微软雅黑" w:eastAsia="微软雅黑" w:cs="微软雅黑"/>
        <w:color w:val="000000" w:themeColor="text1"/>
        <w:sz w:val="18"/>
        <w:szCs w:val="18"/>
        <w:u w:val="none"/>
        <w14:textFill>
          <w14:solidFill>
            <w14:schemeClr w14:val="tx1"/>
          </w14:solidFill>
        </w14:textFill>
      </w:rPr>
      <w:t>本数据为实验室典型值，实际性能可能因工艺、环境等因素略有差异。用户需根据具体应用场景验证材料适用性。</w:t>
    </w:r>
  </w:p>
  <w:p w14:paraId="68A21412">
    <w:pPr>
      <w:spacing w:line="176" w:lineRule="auto"/>
      <w:ind w:left="11104"/>
      <w:rPr>
        <w:rFonts w:ascii="Times New Roman" w:hAnsi="Times New Roman" w:eastAsia="Times New Roman" w:cs="Times New Roman"/>
        <w:color w:val="767171"/>
        <w:spacing w:val="-5"/>
        <w:sz w:val="16"/>
        <w:szCs w:val="16"/>
      </w:rPr>
    </w:pPr>
    <w:r>
      <w:rPr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266065</wp:posOffset>
              </wp:positionH>
              <wp:positionV relativeFrom="paragraph">
                <wp:posOffset>21590</wp:posOffset>
              </wp:positionV>
              <wp:extent cx="71913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85115" y="9956165"/>
                        <a:ext cx="7191375" cy="0"/>
                      </a:xfrm>
                      <a:prstGeom prst="line">
                        <a:avLst/>
                      </a:prstGeom>
                      <a:ln>
                        <a:solidFill>
                          <a:srgbClr val="1E4DA7"/>
                        </a:solidFill>
                        <a:headEnd type="none" w="med" len="med"/>
                        <a:tailEnd type="none" w="med" len="med"/>
                      </a:ln>
                    </wps:spPr>
                    <wps:style>
                      <a:lnRef idx="3">
                        <a:schemeClr val="accent1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20.95pt;margin-top:1.7pt;height:0pt;width:566.25pt;z-index:251659264;mso-width-relative:page;mso-height-relative:page;" filled="f" stroked="t" coordsize="21600,21600" o:gfxdata="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aczqK1gAAAAcBAAAPAAAAAAAAAAEAIAAAACIA&#10;AABkcnMvZG93bnJldi54bWxQSwECFAAUAAAACACHTuJAORuEngsCAAD6AwAADgAAAAAAAAABACAA&#10;AAAlAQAAZHJzL2Uyb0RvYy54bWxQSwUGAAAAAAYABgBZAQAAogUAAAAA&#10;">
              <v:fill on="f" focussize="0,0"/>
              <v:stroke weight="3pt" color="#1E4DA7 [3204]" joinstyle="round"/>
              <v:imagedata o:title=""/>
              <o:lock v:ext="edit" aspectratio="f"/>
            </v:line>
          </w:pict>
        </mc:Fallback>
      </mc:AlternateContent>
    </w:r>
  </w:p>
  <w:p w14:paraId="4C0521B4">
    <w:pPr>
      <w:spacing w:line="241" w:lineRule="auto"/>
      <w:ind w:firstLine="800" w:firstLineChars="400"/>
      <w:jc w:val="left"/>
      <w:rPr>
        <w:rFonts w:ascii="Times New Roman" w:hAnsi="Times New Roman" w:eastAsia="Times New Roman" w:cs="Times New Roman"/>
        <w:sz w:val="16"/>
        <w:szCs w:val="16"/>
      </w:rPr>
    </w:pPr>
    <w:r>
      <w:rPr>
        <w:color w:val="000000" w:themeColor="text1"/>
        <w:sz w:val="20"/>
        <w:szCs w:val="20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6696710</wp:posOffset>
              </wp:positionH>
              <wp:positionV relativeFrom="paragraph">
                <wp:posOffset>34290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140CB9"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27.3pt;margin-top:2.7pt;height:144pt;width:144pt;mso-position-horizontal-relative:margin;mso-wrap-style:none;z-index:251660288;mso-width-relative:page;mso-height-relative:page;" filled="f" stroked="f" coordsize="21600,21600" o:gfxdata="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uGNxX1wAAAAsBAAAPAAAAAAAAAAEAIAAAACIAAABkcnMvZG93bnJldi54bWxQ&#10;SwECFAAUAAAACACHTuJAMIkSXj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0140CB9"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 w:cs="微软雅黑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Web: www.best-silicone.com        Email: </w: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begin"/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instrText xml:space="preserve"> HYPERLINK "mailto:wilson@best-silicone.com" </w:instrTex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separate"/>
    </w:r>
    <w:r>
      <w:rPr>
        <w:rStyle w:val="11"/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wilson@best-silicone.com</w:t>
    </w:r>
    <w:r>
      <w:rPr>
        <w:rFonts w:hint="eastAsia" w:ascii="微软雅黑" w:hAnsi="微软雅黑" w:eastAsia="微软雅黑" w:cs="微软雅黑"/>
        <w:i w:val="0"/>
        <w:iCs w:val="0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fldChar w:fldCharType="end"/>
    </w:r>
    <w:r>
      <w:rPr>
        <w:rFonts w:hint="eastAsia" w:ascii="Times New Roman" w:hAnsi="Times New Roman" w:eastAsia="宋体" w:cs="Times New Roman"/>
        <w:i w:val="0"/>
        <w:iCs w:val="0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Times New Roman" w:hAnsi="Times New Roman" w:eastAsia="宋体" w:cs="Times New Roman"/>
        <w:color w:val="000000" w:themeColor="text1"/>
        <w:spacing w:val="-5"/>
        <w:sz w:val="20"/>
        <w:szCs w:val="20"/>
        <w:lang w:val="en-US" w:eastAsia="zh-CN"/>
        <w14:textFill>
          <w14:solidFill>
            <w14:schemeClr w14:val="tx1"/>
          </w14:solidFill>
        </w14:textFill>
      </w:rPr>
      <w:t xml:space="preserve">     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eastAsia="zh-CN"/>
        <w14:textFill>
          <w14:solidFill>
            <w14:schemeClr w14:val="tx1"/>
          </w14:solidFill>
        </w14:textFill>
      </w:rPr>
      <w:t>技术咨询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14:textFill>
          <w14:solidFill>
            <w14:schemeClr w14:val="tx1"/>
          </w14:solidFill>
        </w14:textFill>
      </w:rPr>
      <w:t>：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wilson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14:textFill>
          <w14:solidFill>
            <w14:schemeClr w14:val="tx1"/>
          </w14:solidFill>
        </w14:textFill>
      </w:rPr>
      <w:t xml:space="preserve"> </w:t>
    </w:r>
    <w:r>
      <w:rPr>
        <w:rFonts w:hint="eastAsia" w:ascii="微软雅黑" w:hAnsi="微软雅黑" w:eastAsia="微软雅黑" w:cs="微软雅黑"/>
        <w:color w:val="000000" w:themeColor="text1"/>
        <w:sz w:val="20"/>
        <w:szCs w:val="20"/>
        <w:lang w:val="en-US" w:eastAsia="zh-CN"/>
        <w14:textFill>
          <w14:solidFill>
            <w14:schemeClr w14:val="tx1"/>
          </w14:solidFill>
        </w14:textFill>
      </w:rPr>
      <w:t>13923751681</w:t>
    </w:r>
    <w:r>
      <w:rPr>
        <w:rFonts w:hint="eastAsia" w:ascii="微软雅黑" w:hAnsi="微软雅黑" w:eastAsia="微软雅黑" w:cs="微软雅黑"/>
        <w:sz w:val="20"/>
        <w:szCs w:val="20"/>
        <w:lang w:val="en-US" w:eastAsia="zh-CN"/>
      </w:rPr>
      <w:t xml:space="preserve">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F192E2">
    <w:pPr>
      <w:pStyle w:val="4"/>
      <w:spacing w:line="240" w:lineRule="auto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7747635" cy="494665"/>
          <wp:effectExtent l="0" t="0" r="5715" b="635"/>
          <wp:docPr id="1" name="图片 1" descr="C:/Users/Administrator/Desktop/手绘卡通彩色页眉4.png手绘卡通彩色页眉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/Users/Administrator/Desktop/手绘卡通彩色页眉4.png手绘卡通彩色页眉4"/>
                  <pic:cNvPicPr>
                    <a:picLocks noChangeAspect="1"/>
                  </pic:cNvPicPr>
                </pic:nvPicPr>
                <pic:blipFill>
                  <a:blip r:embed="rId1"/>
                  <a:srcRect t="443" b="443"/>
                  <a:stretch>
                    <a:fillRect/>
                  </a:stretch>
                </pic:blipFill>
                <pic:spPr>
                  <a:xfrm>
                    <a:off x="0" y="0"/>
                    <a:ext cx="7747635" cy="494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1179D5"/>
    <w:multiLevelType w:val="multilevel"/>
    <w:tmpl w:val="0C1179D5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sz w:val="24"/>
        <w:szCs w:val="24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  <w:rPr>
        <w:sz w:val="24"/>
        <w:szCs w:val="24"/>
      </w:r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sz w:val="24"/>
        <w:szCs w:val="24"/>
      </w:rPr>
    </w:lvl>
    <w:lvl w:ilvl="3" w:tentative="0">
      <w:start w:val="1"/>
      <w:numFmt w:val="decimal"/>
      <w:lvlText w:val="%4."/>
      <w:lvlJc w:val="left"/>
      <w:pPr>
        <w:tabs>
          <w:tab w:val="left" w:pos="2517"/>
        </w:tabs>
        <w:ind w:left="2880" w:hanging="360"/>
      </w:pPr>
      <w:rPr>
        <w:sz w:val="24"/>
        <w:szCs w:val="24"/>
      </w:rPr>
    </w:lvl>
    <w:lvl w:ilvl="4" w:tentative="0">
      <w:start w:val="1"/>
      <w:numFmt w:val="decimal"/>
      <w:lvlText w:val="%5."/>
      <w:lvlJc w:val="left"/>
      <w:pPr>
        <w:tabs>
          <w:tab w:val="left" w:pos="3238"/>
        </w:tabs>
        <w:ind w:left="3600" w:hanging="360"/>
      </w:pPr>
      <w:rPr>
        <w:sz w:val="24"/>
        <w:szCs w:val="24"/>
      </w:rPr>
    </w:lvl>
    <w:lvl w:ilvl="5" w:tentative="0">
      <w:start w:val="1"/>
      <w:numFmt w:val="decimal"/>
      <w:lvlText w:val="%6."/>
      <w:lvlJc w:val="left"/>
      <w:pPr>
        <w:tabs>
          <w:tab w:val="left" w:pos="3958"/>
        </w:tabs>
        <w:ind w:left="4320" w:hanging="360"/>
      </w:pPr>
      <w:rPr>
        <w:sz w:val="24"/>
        <w:szCs w:val="24"/>
      </w:rPr>
    </w:lvl>
    <w:lvl w:ilvl="6" w:tentative="0">
      <w:start w:val="1"/>
      <w:numFmt w:val="decimal"/>
      <w:lvlText w:val="%7."/>
      <w:lvlJc w:val="left"/>
      <w:pPr>
        <w:tabs>
          <w:tab w:val="left" w:pos="4678"/>
        </w:tabs>
        <w:ind w:left="5040" w:hanging="360"/>
      </w:pPr>
      <w:rPr>
        <w:sz w:val="24"/>
        <w:szCs w:val="24"/>
      </w:rPr>
    </w:lvl>
    <w:lvl w:ilvl="7" w:tentative="0">
      <w:start w:val="1"/>
      <w:numFmt w:val="decimal"/>
      <w:lvlText w:val="%8."/>
      <w:lvlJc w:val="left"/>
      <w:pPr>
        <w:tabs>
          <w:tab w:val="left" w:pos="5398"/>
        </w:tabs>
        <w:ind w:left="5760" w:hanging="360"/>
      </w:pPr>
      <w:rPr>
        <w:sz w:val="24"/>
        <w:szCs w:val="24"/>
      </w:rPr>
    </w:lvl>
    <w:lvl w:ilvl="8" w:tentative="0">
      <w:start w:val="1"/>
      <w:numFmt w:val="decimal"/>
      <w:lvlText w:val="%9."/>
      <w:lvlJc w:val="left"/>
      <w:pPr>
        <w:tabs>
          <w:tab w:val="left" w:pos="6118"/>
        </w:tabs>
        <w:ind w:left="6480" w:hanging="360"/>
      </w:pPr>
      <w:rPr>
        <w:sz w:val="24"/>
        <w:szCs w:val="24"/>
      </w:rPr>
    </w:lvl>
  </w:abstractNum>
  <w:abstractNum w:abstractNumId="1">
    <w:nsid w:val="0DF0251A"/>
    <w:multiLevelType w:val="multilevel"/>
    <w:tmpl w:val="0DF0251A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cs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 w:cs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 w:cs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 w:cs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 w:cs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 w:cs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 w:cs="Wingdings"/>
        <w:sz w:val="20"/>
      </w:rPr>
    </w:lvl>
  </w:abstractNum>
  <w:abstractNum w:abstractNumId="2">
    <w:nsid w:val="49C1D88C"/>
    <w:multiLevelType w:val="singleLevel"/>
    <w:tmpl w:val="49C1D88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57A204A0"/>
    <w:multiLevelType w:val="singleLevel"/>
    <w:tmpl w:val="57A204A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FFFFFF" w:themeColor="background1"/>
        <w14:textFill>
          <w14:solidFill>
            <w14:schemeClr w14:val="bg1"/>
          </w14:solidFill>
        </w14:textFill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5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12248A7"/>
    <w:rsid w:val="082012B0"/>
    <w:rsid w:val="0AB86B7B"/>
    <w:rsid w:val="0CA95C34"/>
    <w:rsid w:val="0E74681A"/>
    <w:rsid w:val="11B90173"/>
    <w:rsid w:val="14305C1C"/>
    <w:rsid w:val="15961860"/>
    <w:rsid w:val="192E24BD"/>
    <w:rsid w:val="1C2C2308"/>
    <w:rsid w:val="23587E09"/>
    <w:rsid w:val="23F54D19"/>
    <w:rsid w:val="255B6BAF"/>
    <w:rsid w:val="2C4D223B"/>
    <w:rsid w:val="321E1594"/>
    <w:rsid w:val="337771AE"/>
    <w:rsid w:val="33B03C20"/>
    <w:rsid w:val="34942E9F"/>
    <w:rsid w:val="34991BB5"/>
    <w:rsid w:val="3A2F2590"/>
    <w:rsid w:val="3F0F45D5"/>
    <w:rsid w:val="404B3C60"/>
    <w:rsid w:val="435B044B"/>
    <w:rsid w:val="4B453F7C"/>
    <w:rsid w:val="4ED223D5"/>
    <w:rsid w:val="575C3412"/>
    <w:rsid w:val="59926ABE"/>
    <w:rsid w:val="5BD30739"/>
    <w:rsid w:val="5D915272"/>
    <w:rsid w:val="5DF417F2"/>
    <w:rsid w:val="62DB6BC1"/>
    <w:rsid w:val="65BD7864"/>
    <w:rsid w:val="6956624D"/>
    <w:rsid w:val="6A9C0CCD"/>
    <w:rsid w:val="6B0C3DDB"/>
    <w:rsid w:val="6CAB51F1"/>
    <w:rsid w:val="740C5040"/>
    <w:rsid w:val="783F3C54"/>
    <w:rsid w:val="7ED21BEA"/>
    <w:rsid w:val="7EF122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link w:val="12"/>
    <w:qFormat/>
    <w:uiPriority w:val="0"/>
    <w:pPr>
      <w:spacing w:after="120"/>
    </w:pPr>
    <w:rPr>
      <w:i/>
    </w:rPr>
  </w:style>
  <w:style w:type="paragraph" w:styleId="4">
    <w:name w:val="Body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12"/>
    <w:qFormat/>
    <w:uiPriority w:val="0"/>
    <w:rPr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2">
    <w:name w:val="题注 字符"/>
    <w:basedOn w:val="9"/>
    <w:link w:val="3"/>
    <w:qFormat/>
    <w:uiPriority w:val="0"/>
    <w:rPr>
      <w:i/>
    </w:rPr>
  </w:style>
  <w:style w:type="table" w:customStyle="1" w:styleId="13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4">
    <w:name w:val="Table Text"/>
    <w:basedOn w:val="1"/>
    <w:semiHidden/>
    <w:qFormat/>
    <w:uiPriority w:val="0"/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type="paragraph" w:customStyle="1" w:styleId="15">
    <w:name w:val="内容块-06-a"/>
    <w:basedOn w:val="1"/>
    <w:next w:val="1"/>
    <w:qFormat/>
    <w:uiPriority w:val="0"/>
    <w:pPr>
      <w:pBdr>
        <w:left w:val="single" w:color="4F81BD" w:themeColor="accent1" w:sz="12" w:space="10"/>
      </w:pBdr>
      <w:ind w:left="227"/>
      <w:textAlignment w:val="center"/>
    </w:pPr>
    <w:rPr>
      <w:rFonts w:asciiTheme="minorEastAsia" w:hAnsiTheme="minorEastAsia"/>
      <w:color w:val="595959" w:themeColor="text1" w:themeTint="A6"/>
      <w:szCs w:val="21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6">
    <w:name w:val="页眉 字符"/>
    <w:basedOn w:val="9"/>
    <w:link w:val="6"/>
    <w:qFormat/>
    <w:uiPriority w:val="0"/>
    <w:rPr>
      <w:sz w:val="18"/>
      <w:szCs w:val="18"/>
    </w:rPr>
  </w:style>
  <w:style w:type="character" w:customStyle="1" w:styleId="17">
    <w:name w:val="页脚 字符"/>
    <w:basedOn w:val="9"/>
    <w:link w:val="5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2.jpe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687</Words>
  <Characters>902</Characters>
  <TotalTime>61</TotalTime>
  <ScaleCrop>false</ScaleCrop>
  <LinksUpToDate>false</LinksUpToDate>
  <CharactersWithSpaces>941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2022-12-28T09:00:00Z</dcterms:created>
  <dc:creator>魑魅魍魉1382858652</dc:creator>
  <cp:lastModifiedBy>熊 斌</cp:lastModifiedBy>
  <cp:lastPrinted>2025-03-29T09:16:00Z</cp:lastPrinted>
  <dcterms:modified xsi:type="dcterms:W3CDTF">2025-04-13T07:08:05Z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2025-03-19T10:52:43Z</vt:filetime>
  </property>
  <property fmtid="{D5CDD505-2E9C-101B-9397-08002B2CF9AE}" pid="4" name="KSOTemplateDocerSaveRecord">
    <vt:lpwstr>eyJoZGlkIjoiODcyZjQ4MWIwZjJkZWU2NGM4OTMwNzk2NDA4NzA2ZGEiLCJ1c2VySWQiOiIxMjQ1OTgzMTMwIn0=</vt:lpwstr>
  </property>
  <property fmtid="{D5CDD505-2E9C-101B-9397-08002B2CF9AE}" pid="5" name="KSOProductBuildVer">
    <vt:lpwstr>2052-12.1.0.20305</vt:lpwstr>
  </property>
  <property fmtid="{D5CDD505-2E9C-101B-9397-08002B2CF9AE}" pid="6" name="ICV">
    <vt:lpwstr>0173F7DE116046B289B418DD29594EDB_13</vt:lpwstr>
  </property>
</Properties>
</file>